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254679E3" w14:textId="30CCE6AA" w:rsidR="00606340" w:rsidRDefault="007A0E8D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F750A" w:rsidRPr="000F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="00FC714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повторных </w:t>
      </w:r>
      <w:r w:rsidR="000F750A" w:rsidRPr="000F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закупок услуг по изготовлению имиджевых стоек способом запроса ценовых предложений</w:t>
      </w:r>
      <w:r w:rsidR="000F750A" w:rsidRPr="000F750A" w:rsidDel="000F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0"/>
    </w:p>
    <w:p w14:paraId="5A940D5C" w14:textId="77777777" w:rsidR="00CF63BF" w:rsidRPr="00181484" w:rsidRDefault="00CF63BF" w:rsidP="00CF63B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D1435FF" w14:textId="2BEE69EA" w:rsidR="00CF63BF" w:rsidRDefault="00606340" w:rsidP="00CF63BF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FC7146" w:rsidRPr="00FC7146">
        <w:rPr>
          <w:rFonts w:ascii="Times New Roman" w:eastAsia="Consolas" w:hAnsi="Times New Roman"/>
          <w:b/>
          <w:color w:val="000000"/>
          <w:sz w:val="28"/>
          <w:szCs w:val="28"/>
          <w:lang w:val="kk-KZ"/>
        </w:rPr>
        <w:t>повторных</w:t>
      </w:r>
      <w:r w:rsidR="00FC7146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закупок услуг </w:t>
      </w:r>
      <w:r w:rsidR="000F750A" w:rsidRPr="000F750A">
        <w:rPr>
          <w:rFonts w:ascii="Times New Roman" w:eastAsia="Consolas" w:hAnsi="Times New Roman"/>
          <w:b/>
          <w:color w:val="000000"/>
          <w:sz w:val="28"/>
          <w:szCs w:val="28"/>
        </w:rPr>
        <w:t>по изготовлению имиджевых стоек способом запроса ценовых предложений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>.</w:t>
      </w:r>
    </w:p>
    <w:p w14:paraId="02782C1E" w14:textId="77777777" w:rsidR="00606340" w:rsidRPr="00E60CFB" w:rsidRDefault="00606340" w:rsidP="00CF63BF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233A75B" w14:textId="785620DA" w:rsidR="007A0E8D" w:rsidRPr="000F750A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0F750A" w:rsidRPr="000F750A">
        <w:rPr>
          <w:rFonts w:ascii="Times New Roman" w:eastAsia="Consolas" w:hAnsi="Times New Roman" w:cs="Times New Roman"/>
          <w:color w:val="000000"/>
          <w:sz w:val="28"/>
          <w:szCs w:val="28"/>
        </w:rPr>
        <w:t>800 000 (восемьсот тысяч) тенге без учета НДС.</w:t>
      </w:r>
      <w:r w:rsidR="000F750A" w:rsidRPr="000F750A" w:rsidDel="000F750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14:paraId="53A7EDF5" w14:textId="77777777" w:rsidR="00CF63BF" w:rsidRPr="00E60CFB" w:rsidRDefault="00CF63BF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6C525FB0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FC714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25</w:t>
      </w:r>
      <w:r w:rsidR="00FC7146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0F750A">
        <w:rPr>
          <w:rFonts w:ascii="Times New Roman" w:eastAsia="Consolas" w:hAnsi="Times New Roman" w:cs="Times New Roman"/>
          <w:color w:val="000000"/>
          <w:sz w:val="28"/>
          <w:szCs w:val="28"/>
        </w:rPr>
        <w:t>августа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6D6C5802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FC7146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25</w:t>
      </w:r>
      <w:bookmarkStart w:id="1" w:name="_GoBack"/>
      <w:bookmarkEnd w:id="1"/>
      <w:r w:rsidR="00FC7146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F750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августа </w:t>
      </w:r>
      <w:r w:rsidR="00596FA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2018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года по следующему </w:t>
      </w:r>
      <w:r w:rsidR="00596FA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адресу: ул.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27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«Жетысу».</w:t>
      </w:r>
    </w:p>
    <w:p w14:paraId="0E7B8737" w14:textId="1B521B1B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36C99D70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A4EA9" w14:textId="77777777" w:rsidR="00756853" w:rsidRDefault="00756853" w:rsidP="0029497D">
      <w:pPr>
        <w:spacing w:after="0" w:line="240" w:lineRule="auto"/>
      </w:pPr>
      <w:r>
        <w:separator/>
      </w:r>
    </w:p>
  </w:endnote>
  <w:endnote w:type="continuationSeparator" w:id="0">
    <w:p w14:paraId="5A3DF77B" w14:textId="77777777" w:rsidR="00756853" w:rsidRDefault="00756853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C7146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FED89" w14:textId="77777777" w:rsidR="00756853" w:rsidRDefault="00756853" w:rsidP="0029497D">
      <w:pPr>
        <w:spacing w:after="0" w:line="240" w:lineRule="auto"/>
      </w:pPr>
      <w:r>
        <w:separator/>
      </w:r>
    </w:p>
  </w:footnote>
  <w:footnote w:type="continuationSeparator" w:id="0">
    <w:p w14:paraId="578C1C8C" w14:textId="77777777" w:rsidR="00756853" w:rsidRDefault="00756853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50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42A3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96FAE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6853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21B7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C7146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A392-D342-4D98-B21D-4F917436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2018-03-29T08:18:00Z</cp:lastPrinted>
  <dcterms:created xsi:type="dcterms:W3CDTF">2018-03-29T08:53:00Z</dcterms:created>
  <dcterms:modified xsi:type="dcterms:W3CDTF">2018-08-16T10:09:00Z</dcterms:modified>
</cp:coreProperties>
</file>